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675ABDAD" w:rsidR="002404DB" w:rsidRPr="002404DB" w:rsidRDefault="00891F95" w:rsidP="002404DB">
      <w:pPr>
        <w:jc w:val="right"/>
        <w:rPr>
          <w:color w:val="000000"/>
        </w:rPr>
      </w:pPr>
      <w:r>
        <w:rPr>
          <w:color w:val="000000"/>
        </w:rPr>
        <w:t>2022</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68540E4E"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w:t>
      </w:r>
      <w:r w:rsidR="00045BB8" w:rsidRPr="00045BB8">
        <w:rPr>
          <w:b/>
        </w:rPr>
        <w:t>0000</w:t>
      </w:r>
      <w:r w:rsidR="00690885">
        <w:rPr>
          <w:b/>
        </w:rPr>
        <w:t>316</w:t>
      </w:r>
    </w:p>
    <w:p w14:paraId="30109201" w14:textId="6859046E"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DD37ED">
        <w:rPr>
          <w:b/>
        </w:rPr>
        <w:t>Mātera ielā 31</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4935EC46"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891F95">
        <w:rPr>
          <w:b/>
        </w:rPr>
        <w:t>2022-8</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rsidTr="003D5170">
        <w:trPr>
          <w:trHeight w:val="703"/>
        </w:trPr>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0C8E50AF" w14:textId="6261BA2A" w:rsidR="00D17B51" w:rsidRPr="00A444C7" w:rsidRDefault="008A2E10" w:rsidP="003D5170">
            <w:pPr>
              <w:pStyle w:val="ListParagraph"/>
              <w:tabs>
                <w:tab w:val="left" w:pos="426"/>
                <w:tab w:val="left" w:pos="9638"/>
              </w:tabs>
              <w:spacing w:before="120"/>
              <w:ind w:left="0"/>
              <w:jc w:val="both"/>
              <w:rPr>
                <w:b/>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891F95">
              <w:rPr>
                <w:rFonts w:ascii="Times New Roman" w:hAnsi="Times New Roman"/>
                <w:b/>
                <w:sz w:val="24"/>
                <w:szCs w:val="24"/>
              </w:rPr>
              <w:t>2022-8</w:t>
            </w: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0A350EF6"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891F95">
              <w:t>2022</w:t>
            </w:r>
            <w:r w:rsidR="000507B1" w:rsidRPr="00A444C7">
              <w:t xml:space="preserve">.gada </w:t>
            </w:r>
            <w:r w:rsidR="00AF482A">
              <w:t>31.janvāra</w:t>
            </w:r>
            <w:r w:rsidR="000507B1" w:rsidRPr="00A444C7">
              <w:t xml:space="preserve"> rīkojumu Nr.1</w:t>
            </w:r>
            <w:r w:rsidR="008A2E10" w:rsidRPr="00A444C7">
              <w:t>-08/</w:t>
            </w:r>
            <w:r w:rsidR="00AF482A">
              <w:t>1</w:t>
            </w:r>
            <w:r w:rsidR="0070785A">
              <w:t>0</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7B0BF727" w:rsidR="00D17B51" w:rsidRPr="00A444C7" w:rsidRDefault="00D17B51" w:rsidP="00305AC1">
            <w:pPr>
              <w:jc w:val="both"/>
            </w:pPr>
            <w:r w:rsidRPr="00A444C7">
              <w:t xml:space="preserve">1.4.1. </w:t>
            </w:r>
            <w:r w:rsidR="001266FE" w:rsidRPr="00A444C7">
              <w:t xml:space="preserve">Kontaktpersona: </w:t>
            </w:r>
            <w:r w:rsidR="0070785A" w:rsidRPr="0070785A">
              <w:t>SIA “JNĪP” ēku ekspluatācijas daļas nekustamā īpašuma pārvaldniece: Jūlija Zagorska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7EF0A27D"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w:t>
            </w:r>
            <w:r w:rsidR="00796485">
              <w:t>8</w:t>
            </w:r>
            <w:r w:rsidR="00E05960" w:rsidRPr="00A444C7">
              <w:t>.</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rsidTr="00492FAD">
        <w:trPr>
          <w:cantSplit/>
          <w:trHeight w:val="491"/>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5C2B4B87" w:rsidR="00D17B51" w:rsidRPr="00A444C7" w:rsidRDefault="00D17B51" w:rsidP="00305AC1">
            <w:pPr>
              <w:jc w:val="both"/>
            </w:pPr>
            <w:r w:rsidRPr="00A444C7">
              <w:t xml:space="preserve">1.4.3. </w:t>
            </w:r>
            <w:r w:rsidR="001266FE" w:rsidRPr="00A444C7">
              <w:t>Tālruņa numurs:</w:t>
            </w:r>
            <w:r w:rsidR="00BF1261">
              <w:t xml:space="preserve"> </w:t>
            </w:r>
            <w:r w:rsidR="0070785A" w:rsidRPr="0070785A">
              <w:t>+63084792, e-pasta adrese: julija@jnip.lv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47D9C4C2"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DD37ED">
              <w:t>Mātera ielā 31</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891F95">
              <w:t>2022-8</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Lejuplādējot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14B9A64"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w:t>
            </w:r>
            <w:r w:rsidR="00891F95">
              <w:rPr>
                <w:b/>
              </w:rPr>
              <w:t>u</w:t>
            </w:r>
            <w:r w:rsidRPr="0042796B">
              <w:rPr>
                <w:b/>
              </w:rPr>
              <w:t>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Pretendenta nosaukums, reģ.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1.10.4.2. Pretendenta nosaukums, reģ.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6129B06A"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891F95">
              <w:rPr>
                <w:rFonts w:ascii="Times New Roman" w:hAnsi="Times New Roman"/>
                <w:b/>
                <w:sz w:val="24"/>
                <w:szCs w:val="24"/>
                <w:lang w:eastAsia="lv-LV"/>
              </w:rPr>
              <w:t>2022</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225D8C">
              <w:rPr>
                <w:rFonts w:ascii="Times New Roman" w:hAnsi="Times New Roman"/>
                <w:b/>
                <w:sz w:val="24"/>
                <w:szCs w:val="24"/>
                <w:lang w:eastAsia="lv-LV"/>
              </w:rPr>
              <w:t>25</w:t>
            </w:r>
            <w:r w:rsidR="00B82693">
              <w:rPr>
                <w:rFonts w:ascii="Times New Roman" w:hAnsi="Times New Roman"/>
                <w:b/>
                <w:sz w:val="24"/>
                <w:szCs w:val="24"/>
                <w:lang w:eastAsia="lv-LV"/>
              </w:rPr>
              <w:t>.</w:t>
            </w:r>
            <w:r w:rsidR="00891F95">
              <w:rPr>
                <w:rFonts w:ascii="Times New Roman" w:hAnsi="Times New Roman"/>
                <w:b/>
                <w:sz w:val="24"/>
                <w:szCs w:val="24"/>
                <w:lang w:eastAsia="lv-LV"/>
              </w:rPr>
              <w:t>martam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225D8C">
              <w:rPr>
                <w:rFonts w:ascii="Times New Roman" w:hAnsi="Times New Roman"/>
                <w:b/>
                <w:sz w:val="24"/>
                <w:szCs w:val="24"/>
                <w:lang w:eastAsia="lv-LV"/>
              </w:rPr>
              <w:t>6</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4B8A976A" w14:textId="5A2FD7FD" w:rsidR="006E4B7B" w:rsidRPr="0042796B" w:rsidRDefault="00E01AD2" w:rsidP="003D5170">
            <w:pPr>
              <w:pStyle w:val="ListParagraph"/>
              <w:suppressAutoHyphens/>
              <w:spacing w:after="0" w:line="240" w:lineRule="auto"/>
              <w:ind w:left="0"/>
              <w:jc w:val="both"/>
              <w:rPr>
                <w:rFonts w:ascii="Times New Roman" w:hAnsi="Times New Roman"/>
                <w:b/>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energoefektivitātes paaugstināšanu dzīvojamās ēkās" īstenošanas </w:t>
            </w:r>
            <w:r w:rsidR="00733FA0" w:rsidRPr="004E35CB">
              <w:rPr>
                <w:bCs/>
                <w:lang w:eastAsia="en-US"/>
              </w:rPr>
              <w:lastRenderedPageBreak/>
              <w:t>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C10A221" w14:textId="787DF2FA" w:rsidR="0027410A" w:rsidRPr="000D6D09" w:rsidRDefault="00733FA0" w:rsidP="003D5170">
            <w:pPr>
              <w:jc w:val="both"/>
              <w:rPr>
                <w:bCs/>
              </w:rPr>
            </w:pPr>
            <w:r>
              <w:t xml:space="preserve">2.1.2. </w:t>
            </w:r>
            <w:r w:rsidR="00D17B51" w:rsidRPr="0042796B">
              <w:rPr>
                <w:bCs/>
              </w:rPr>
              <w:t xml:space="preserve">Iepirkuma priekšmets ir daudzdzīvokļu dzīvojamās mājas, kas atrodas </w:t>
            </w:r>
            <w:r w:rsidR="00DD37ED">
              <w:rPr>
                <w:bCs/>
              </w:rPr>
              <w:t>Mātera ielā 31</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DD37ED">
              <w:rPr>
                <w:bCs/>
              </w:rPr>
              <w:t>Mātera ielā 31</w:t>
            </w:r>
            <w:r w:rsidR="000D6D09" w:rsidRPr="000D6D09">
              <w:rPr>
                <w:bCs/>
              </w:rPr>
              <w:t>, Jelgavā”</w:t>
            </w:r>
            <w:r w:rsidR="00D7538E">
              <w:rPr>
                <w:bCs/>
              </w:rPr>
              <w:t>.</w:t>
            </w: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675EAB72"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r w:rsidR="00DC3C4C">
              <w:t xml:space="preserve">, bet ne vēlāk ka līdz </w:t>
            </w:r>
            <w:r w:rsidR="00DC3C4C" w:rsidRPr="00DC3C4C">
              <w:t>2023. gada</w:t>
            </w:r>
            <w:r w:rsidR="00DC3C4C">
              <w:t xml:space="preserve"> 1.jūnijam.</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46285E15"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DD37ED">
              <w:rPr>
                <w:bCs/>
              </w:rPr>
              <w:t>Mātera ielā 31</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56AC2993"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DD37ED">
              <w:rPr>
                <w:bCs/>
              </w:rPr>
              <w:t>Mātera ielā 31</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Pretendents var balstīties uz citu uzņēmēju iespējām, ja tas ir nepieciešams konkrētā līguma izpildei, neatkarīgi no savstarpējo attiecību tiesiskā rakstura. Šādā gadījumā pretendents pierāda Pasūtītājam, piedāvājumam pievienojot attiecīgus 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5C143C2A" w:rsidR="0032368D" w:rsidRPr="0042796B" w:rsidRDefault="0032368D" w:rsidP="0032368D">
            <w:pPr>
              <w:jc w:val="both"/>
            </w:pPr>
            <w:r w:rsidRPr="0042796B">
              <w:lastRenderedPageBreak/>
              <w:t>3.2.8. Pretendenta gada vidējais apgrozījums būvniecībā par iepriekšējiem trīs noslēgtajiem finanšu gadiem (201</w:t>
            </w:r>
            <w:r w:rsidR="00B82693">
              <w:t>9</w:t>
            </w:r>
            <w:r w:rsidRPr="0042796B">
              <w:t>., 20</w:t>
            </w:r>
            <w:r w:rsidR="00B82693">
              <w:t>20</w:t>
            </w:r>
            <w:r w:rsidRPr="0042796B">
              <w:t xml:space="preserve">., </w:t>
            </w:r>
            <w:r w:rsidR="00891F95">
              <w:t>202</w:t>
            </w:r>
            <w:r w:rsidR="000C255F">
              <w:t>1</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euro</w:t>
            </w:r>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4C0AB737" w:rsidR="0032368D" w:rsidRPr="0042796B" w:rsidRDefault="0032368D" w:rsidP="0032368D">
            <w:pPr>
              <w:jc w:val="both"/>
            </w:pPr>
            <w:r w:rsidRPr="0042796B">
              <w:t xml:space="preserve">3.2.8.3. Pretendenta </w:t>
            </w:r>
            <w:r w:rsidRPr="0042796B">
              <w:rPr>
                <w:b/>
              </w:rPr>
              <w:t>peļņas un zaudējumu aprēķins par 201</w:t>
            </w:r>
            <w:r w:rsidR="00B82693">
              <w:rPr>
                <w:b/>
              </w:rPr>
              <w:t>9</w:t>
            </w:r>
            <w:r w:rsidRPr="0042796B">
              <w:rPr>
                <w:b/>
              </w:rPr>
              <w:t>., 20</w:t>
            </w:r>
            <w:r w:rsidR="00B82693">
              <w:rPr>
                <w:b/>
              </w:rPr>
              <w:t>20</w:t>
            </w:r>
            <w:r w:rsidRPr="0042796B">
              <w:rPr>
                <w:b/>
              </w:rPr>
              <w:t xml:space="preserve">. un </w:t>
            </w:r>
            <w:r w:rsidR="00891F95">
              <w:rPr>
                <w:b/>
              </w:rPr>
              <w:t>202</w:t>
            </w:r>
            <w:r w:rsidR="000C255F">
              <w:rPr>
                <w:b/>
              </w:rPr>
              <w:t>1</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36E23D85"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w:t>
            </w:r>
            <w:r w:rsidR="00A8545C">
              <w:rPr>
                <w:b/>
                <w:bCs/>
              </w:rPr>
              <w:t>ār</w:t>
            </w:r>
            <w:r w:rsidR="007964A8" w:rsidRPr="0042796B">
              <w:rPr>
                <w:b/>
                <w:bCs/>
              </w:rPr>
              <w:t>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r w:rsidR="00E31A05">
              <w:rPr>
                <w:b/>
                <w:bCs/>
              </w:rPr>
              <w:t xml:space="preserve">, līdz ar ko pretendentam nepieciešams pievienot </w:t>
            </w:r>
            <w:r w:rsidR="00787ED2" w:rsidRPr="00787ED2">
              <w:rPr>
                <w:b/>
                <w:bCs/>
              </w:rPr>
              <w:t xml:space="preserve">būvizstrādājuma </w:t>
            </w:r>
            <w:r w:rsidR="00891F95">
              <w:rPr>
                <w:b/>
                <w:bCs/>
              </w:rPr>
              <w:t>E</w:t>
            </w:r>
            <w:r w:rsidR="00787ED2" w:rsidRPr="00787ED2">
              <w:rPr>
                <w:b/>
                <w:bCs/>
              </w:rPr>
              <w:t>ĪD</w:t>
            </w:r>
            <w:r w:rsidR="00787ED2">
              <w:rPr>
                <w:b/>
                <w:bCs/>
              </w:rPr>
              <w:t>!</w:t>
            </w:r>
          </w:p>
          <w:p w14:paraId="1D9E7094" w14:textId="2876A633" w:rsidR="00314DA6" w:rsidRDefault="00314DA6" w:rsidP="00314DA6">
            <w:pPr>
              <w:jc w:val="both"/>
              <w:rPr>
                <w:bCs/>
              </w:rPr>
            </w:pPr>
            <w:r>
              <w:rPr>
                <w:bCs/>
              </w:rPr>
              <w:lastRenderedPageBreak/>
              <w:t>3.3.</w:t>
            </w:r>
            <w:r w:rsidR="00626A9C">
              <w:rPr>
                <w:bCs/>
              </w:rPr>
              <w:t>4</w:t>
            </w:r>
            <w:r>
              <w:rPr>
                <w:bCs/>
              </w:rPr>
              <w:t xml:space="preserve">. </w:t>
            </w:r>
            <w:r w:rsidRPr="00063FC9">
              <w:rPr>
                <w:bCs/>
              </w:rPr>
              <w:t>Tehniskajās specifikācijās (tāmēs) norādītajām preču zīmēm (zīmoliem), standartiem ir informatīvs raksturs. Pretendentam ir 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018B91F6" w14:textId="232791B8" w:rsidR="00314DA6" w:rsidRPr="00626A9C" w:rsidRDefault="00314DA6" w:rsidP="00314DA6">
            <w:pPr>
              <w:jc w:val="both"/>
              <w:rPr>
                <w:b/>
              </w:rPr>
            </w:pPr>
            <w:r>
              <w:rPr>
                <w:bCs/>
              </w:rPr>
              <w:t>3.3.</w:t>
            </w:r>
            <w:r w:rsidR="000C255F">
              <w:rPr>
                <w:bCs/>
              </w:rPr>
              <w:t>7</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1EBEE8D1" w14:textId="543E2542" w:rsidR="00B45551" w:rsidRPr="00675E77" w:rsidRDefault="00480705" w:rsidP="000C255F">
            <w:pPr>
              <w:jc w:val="both"/>
              <w:rPr>
                <w:shd w:val="clear" w:color="auto" w:fill="FFFFFF"/>
              </w:rPr>
            </w:pPr>
            <w:r w:rsidRPr="00675E77">
              <w:t>4.2.1.</w:t>
            </w:r>
            <w:r w:rsidRPr="00675E77">
              <w:rPr>
                <w:iCs/>
              </w:rPr>
              <w:t xml:space="preserve"> </w:t>
            </w:r>
            <w:r w:rsidR="000D00A1" w:rsidRPr="00675E77">
              <w:rPr>
                <w:rFonts w:eastAsia="ArialMT"/>
                <w:iCs/>
              </w:rPr>
              <w:t xml:space="preserve">Komisija piešķir līguma slēgšanas tiesības </w:t>
            </w:r>
            <w:r w:rsidR="000D00A1" w:rsidRPr="00AF482A">
              <w:rPr>
                <w:rFonts w:eastAsia="ArialMT"/>
                <w:b/>
                <w:bCs/>
                <w:iCs/>
              </w:rPr>
              <w:t>saimnieciski visizdevīgākajam piedāvājumam</w:t>
            </w:r>
            <w:r w:rsidR="000C255F" w:rsidRPr="00AF482A">
              <w:rPr>
                <w:rFonts w:eastAsia="ArialMT"/>
                <w:b/>
                <w:bCs/>
                <w:iCs/>
              </w:rPr>
              <w:t xml:space="preserve"> ar viszemāko cenu</w:t>
            </w:r>
            <w:r w:rsidR="000C255F">
              <w:rPr>
                <w:rFonts w:eastAsia="ArialMT"/>
                <w:iCs/>
              </w:rPr>
              <w:t>.</w:t>
            </w:r>
            <w:r w:rsidR="000D00A1" w:rsidRPr="00675E77">
              <w:rPr>
                <w:rFonts w:eastAsia="ArialMT"/>
                <w:iCs/>
              </w:rPr>
              <w:t xml:space="preserve"> </w:t>
            </w:r>
          </w:p>
          <w:p w14:paraId="291A3A7F" w14:textId="7741EF6F" w:rsidR="00ED116C"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w:t>
            </w:r>
            <w:r w:rsidRPr="0042796B">
              <w:lastRenderedPageBreak/>
              <w:t>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lastRenderedPageBreak/>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45C6F928"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w:t>
            </w:r>
            <w:r w:rsidR="00AF482A">
              <w:rPr>
                <w:rFonts w:eastAsia="ArialMT"/>
                <w:iCs/>
              </w:rPr>
              <w:t xml:space="preserve"> </w:t>
            </w:r>
            <w:r w:rsidR="00AF482A" w:rsidRPr="00AF482A">
              <w:rPr>
                <w:rFonts w:eastAsia="ArialMT"/>
                <w:b/>
                <w:bCs/>
                <w:iCs/>
              </w:rPr>
              <w:t>ar viszemāko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lastRenderedPageBreak/>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1F918383"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DD37ED">
        <w:rPr>
          <w:b/>
          <w:bCs/>
        </w:rPr>
        <w:t>Mātera ielā 31</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891F95">
        <w:rPr>
          <w:b/>
          <w:sz w:val="22"/>
          <w:szCs w:val="22"/>
        </w:rPr>
        <w:t>2022-8</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63D0F36A" w:rsidR="00D17B51" w:rsidRPr="0042796B" w:rsidRDefault="00D17B51">
      <w:pPr>
        <w:spacing w:line="360" w:lineRule="auto"/>
        <w:jc w:val="both"/>
      </w:pPr>
      <w:r w:rsidRPr="0042796B">
        <w:t>2. gada vidējais apgrozījums būvniecībā par iepriekšējiem trīs noslēgtajiem finanšu gadiem (20</w:t>
      </w:r>
      <w:r w:rsidR="00B82693">
        <w:t>19</w:t>
      </w:r>
      <w:r w:rsidRPr="0042796B">
        <w:t>., 20</w:t>
      </w:r>
      <w:r w:rsidR="00B82693">
        <w:t>20</w:t>
      </w:r>
      <w:r w:rsidRPr="0042796B">
        <w:t xml:space="preserve">., </w:t>
      </w:r>
      <w:r w:rsidR="00891F95">
        <w:t>202</w:t>
      </w:r>
      <w:r w:rsidR="008A15AF">
        <w:t>1</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2B5AB74D" w:rsidR="00D17B51" w:rsidRPr="0042796B" w:rsidRDefault="00D17B51" w:rsidP="00CB0654">
      <w:pPr>
        <w:jc w:val="both"/>
      </w:pPr>
      <w:r w:rsidRPr="0042796B">
        <w:t>1. Pretendenta gada vidējais apgrozījums būvniecībā par iepriekšējiem trīs noslēgtajiem finanšu gadiem (20</w:t>
      </w:r>
      <w:r w:rsidR="00B82693">
        <w:t>19</w:t>
      </w:r>
      <w:r w:rsidRPr="0042796B">
        <w:t>., 20</w:t>
      </w:r>
      <w:r w:rsidR="00B82693">
        <w:t>20</w:t>
      </w:r>
      <w:r w:rsidRPr="0042796B">
        <w:t xml:space="preserve">., </w:t>
      </w:r>
      <w:r w:rsidR="00891F95">
        <w:t>202</w:t>
      </w:r>
      <w:r w:rsidR="008A15AF">
        <w:t>1</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4CF61DF6" w:rsidR="00D17B51" w:rsidRPr="0042796B" w:rsidRDefault="00D17B51" w:rsidP="00040C65">
            <w:pPr>
              <w:jc w:val="center"/>
              <w:rPr>
                <w:b/>
              </w:rPr>
            </w:pPr>
            <w:r w:rsidRPr="0042796B">
              <w:rPr>
                <w:b/>
              </w:rPr>
              <w:t>201</w:t>
            </w:r>
            <w:r w:rsidR="00B82693">
              <w:rPr>
                <w:b/>
              </w:rPr>
              <w:t>9</w:t>
            </w:r>
          </w:p>
        </w:tc>
        <w:tc>
          <w:tcPr>
            <w:tcW w:w="1676" w:type="dxa"/>
            <w:shd w:val="clear" w:color="auto" w:fill="B3B3B3"/>
          </w:tcPr>
          <w:p w14:paraId="0F1E3066" w14:textId="2C3D792F" w:rsidR="00D17B51" w:rsidRPr="0042796B" w:rsidRDefault="00D17B51" w:rsidP="00DB58BF">
            <w:pPr>
              <w:jc w:val="center"/>
              <w:rPr>
                <w:b/>
              </w:rPr>
            </w:pPr>
            <w:r w:rsidRPr="0042796B">
              <w:rPr>
                <w:b/>
              </w:rPr>
              <w:t>20</w:t>
            </w:r>
            <w:r w:rsidR="00B82693">
              <w:rPr>
                <w:b/>
              </w:rPr>
              <w:t>20</w:t>
            </w:r>
          </w:p>
        </w:tc>
        <w:tc>
          <w:tcPr>
            <w:tcW w:w="1677" w:type="dxa"/>
            <w:shd w:val="clear" w:color="auto" w:fill="B3B3B3"/>
          </w:tcPr>
          <w:p w14:paraId="1433815D" w14:textId="1E1D0297" w:rsidR="00D17B51" w:rsidRPr="0042796B" w:rsidRDefault="00891F95" w:rsidP="00DB58BF">
            <w:pPr>
              <w:jc w:val="center"/>
              <w:rPr>
                <w:b/>
              </w:rPr>
            </w:pPr>
            <w:r>
              <w:rPr>
                <w:b/>
              </w:rPr>
              <w:t>202</w:t>
            </w:r>
            <w:r w:rsidR="008A15AF">
              <w:rPr>
                <w:b/>
              </w:rPr>
              <w:t>1</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3890C0C2" w:rsidR="00D17B51" w:rsidRPr="0042796B" w:rsidRDefault="00D17B51">
      <w:pPr>
        <w:jc w:val="both"/>
      </w:pPr>
      <w:r w:rsidRPr="0042796B">
        <w:t xml:space="preserve">Mēs piedāvājam veikt konkursā </w:t>
      </w:r>
      <w:r w:rsidRPr="0042796B">
        <w:rPr>
          <w:b/>
          <w:bCs/>
        </w:rPr>
        <w:t xml:space="preserve">„Daudzdzīvokļu dzīvojamās mājas, kas atrodas </w:t>
      </w:r>
      <w:r w:rsidR="00DD37ED">
        <w:rPr>
          <w:b/>
          <w:bCs/>
        </w:rPr>
        <w:t>Mātera ielā 31</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891F95">
        <w:rPr>
          <w:b/>
          <w:sz w:val="22"/>
          <w:szCs w:val="22"/>
        </w:rPr>
        <w:t>2022-8</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3A9CE745"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DD37ED">
        <w:rPr>
          <w:b/>
          <w:bCs/>
        </w:rPr>
        <w:t>Mātera ielā 31</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891F95">
        <w:rPr>
          <w:b/>
          <w:sz w:val="22"/>
          <w:szCs w:val="22"/>
        </w:rPr>
        <w:t>2022-8</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CF1C720" w14:textId="77777777" w:rsidR="00BB2B4C" w:rsidRPr="00056D66" w:rsidRDefault="00BB2B4C" w:rsidP="00BB2B4C">
      <w:pPr>
        <w:rPr>
          <w:b/>
        </w:rPr>
      </w:pPr>
      <w:r w:rsidRPr="00056D66">
        <w:rPr>
          <w:b/>
        </w:rPr>
        <w:t>Sastādot tāmes izmaksas izmantot sekojošus materiālus:</w:t>
      </w:r>
    </w:p>
    <w:p w14:paraId="627121D7" w14:textId="77777777" w:rsidR="00BB2B4C" w:rsidRDefault="00BB2B4C" w:rsidP="00BB2B4C">
      <w:pPr>
        <w:jc w:val="center"/>
        <w:rPr>
          <w:b/>
        </w:rPr>
      </w:pPr>
      <w:r>
        <w:rPr>
          <w:b/>
        </w:rPr>
        <w:t>Bēniņu</w:t>
      </w:r>
      <w:r w:rsidRPr="00443FEB">
        <w:rPr>
          <w:b/>
        </w:rPr>
        <w:t xml:space="preserve"> siltināšana.</w:t>
      </w:r>
    </w:p>
    <w:p w14:paraId="292C21D4" w14:textId="77777777" w:rsidR="00BB2B4C" w:rsidRDefault="00BB2B4C" w:rsidP="00BB2B4C">
      <w:pPr>
        <w:pStyle w:val="NoSpacing"/>
        <w:ind w:firstLine="720"/>
        <w:jc w:val="both"/>
      </w:pPr>
      <w:r>
        <w:t>A</w:t>
      </w:r>
      <w:r w:rsidRPr="00056D66">
        <w:t xml:space="preserve">kmens vate </w:t>
      </w:r>
      <w:r>
        <w:t xml:space="preserve">PAROC Ros 30 </w:t>
      </w:r>
      <w:r w:rsidRPr="00056D66">
        <w:t xml:space="preserve"> vai ekvivalents </w:t>
      </w:r>
      <w:r>
        <w:t>150</w:t>
      </w:r>
      <w:r w:rsidRPr="00056D66">
        <w:t xml:space="preserve">mm </w:t>
      </w:r>
      <w:r>
        <w:t xml:space="preserve">un 120mm </w:t>
      </w:r>
      <w:r w:rsidRPr="00056D66">
        <w:t>(λ ≤ 0.0</w:t>
      </w:r>
      <w:r>
        <w:t>36</w:t>
      </w:r>
      <w:r w:rsidRPr="00056D66">
        <w:t xml:space="preserve"> W/m*K)</w:t>
      </w:r>
      <w:r>
        <w:t xml:space="preserve">, akmens vate PAROC Rob 50 vai ekvivalents 30mm </w:t>
      </w:r>
      <w:r w:rsidRPr="00056D66">
        <w:t>(λ ≤ 0.0</w:t>
      </w:r>
      <w:r>
        <w:t>37</w:t>
      </w:r>
      <w:r w:rsidRPr="00056D66">
        <w:t xml:space="preserve"> W/m*K)</w:t>
      </w:r>
      <w:r>
        <w:t>.</w:t>
      </w:r>
    </w:p>
    <w:p w14:paraId="1D1A8B00" w14:textId="77777777" w:rsidR="00BB2B4C" w:rsidRPr="00056D66" w:rsidRDefault="00BB2B4C" w:rsidP="00BB2B4C">
      <w:pPr>
        <w:pStyle w:val="NoSpacing"/>
        <w:ind w:firstLine="720"/>
        <w:jc w:val="both"/>
      </w:pPr>
    </w:p>
    <w:p w14:paraId="1E532F55" w14:textId="77777777" w:rsidR="00BB2B4C" w:rsidRPr="00056D66" w:rsidRDefault="00BB2B4C" w:rsidP="00BB2B4C">
      <w:pPr>
        <w:jc w:val="center"/>
        <w:rPr>
          <w:b/>
        </w:rPr>
      </w:pPr>
      <w:r w:rsidRPr="00056D66">
        <w:rPr>
          <w:b/>
        </w:rPr>
        <w:t>Sienu siltināšana.</w:t>
      </w:r>
    </w:p>
    <w:p w14:paraId="784B896C" w14:textId="77777777" w:rsidR="00BB2B4C" w:rsidRPr="00056D66" w:rsidRDefault="00BB2B4C" w:rsidP="00BB2B4C">
      <w:pPr>
        <w:ind w:firstLine="720"/>
        <w:jc w:val="both"/>
      </w:pPr>
      <w:r w:rsidRPr="00056D66">
        <w:t>Pielietot ETAG 004 sistēmu (sertifikāts), ieskaitot logu un durvju aiļu apdari.</w:t>
      </w:r>
    </w:p>
    <w:p w14:paraId="04E3E142" w14:textId="77777777" w:rsidR="00BB2B4C" w:rsidRPr="00056D66" w:rsidRDefault="00BB2B4C" w:rsidP="00BB2B4C">
      <w:pPr>
        <w:jc w:val="center"/>
        <w:rPr>
          <w:b/>
        </w:rPr>
      </w:pPr>
      <w:r w:rsidRPr="00443FEB">
        <w:rPr>
          <w:b/>
        </w:rPr>
        <w:t>Logu nomaiņa.</w:t>
      </w:r>
    </w:p>
    <w:p w14:paraId="35455F8B" w14:textId="77777777" w:rsidR="00BB2B4C" w:rsidRPr="00056D66" w:rsidRDefault="00BB2B4C" w:rsidP="00BB2B4C">
      <w:pPr>
        <w:pStyle w:val="NoSpacing"/>
        <w:ind w:firstLine="720"/>
        <w:jc w:val="both"/>
      </w:pPr>
      <w:r w:rsidRPr="00056D66">
        <w:t>Uzstādīt PVC konstrukcijas veramus un atgāžamus logus, saglabājot rūtojumu, ar siltuma caurlaidības koeficienta vērtību Uw ≤ 1,</w:t>
      </w:r>
      <w:r>
        <w:t>1</w:t>
      </w:r>
      <w:r w:rsidRPr="00056D66">
        <w:t xml:space="preserve"> W/m²K. Profila armējuma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  Logu blokam jābūt aprīkotam ar </w:t>
      </w:r>
      <w:r w:rsidRPr="00056D66">
        <w:rPr>
          <w:color w:val="FF0000"/>
        </w:rPr>
        <w:t> </w:t>
      </w:r>
      <w:r>
        <w:t>Air-Box ECO</w:t>
      </w:r>
      <w:r w:rsidRPr="00056D66">
        <w:t xml:space="preserve"> gaisa pieplūdes vārstu (vai ekvivalentu), kuram jānodrošina svaiga gaisa pieplūde telpā no 2 līdz 40 m3/h. Šo atvērumu ventilācijas vārstiem jābūt aprīkotiem ar filtriem. Vārstiem jābūt uzstādāmiem bez frēzēšanas profilos caur gumijas blīvējuma izgriezumiem.</w:t>
      </w:r>
    </w:p>
    <w:p w14:paraId="416F24AC" w14:textId="77777777" w:rsidR="00BB2B4C" w:rsidRPr="00056D66" w:rsidRDefault="00BB2B4C" w:rsidP="00BB2B4C">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r w:rsidRPr="00056D66">
        <w:rPr>
          <w:lang w:val="de-DE"/>
        </w:rPr>
        <w:t xml:space="preserve">Visas blīvējuma malas ir sakausētas. </w:t>
      </w:r>
      <w:r w:rsidRPr="00056D66">
        <w:rPr>
          <w:color w:val="000000"/>
          <w:lang w:val="de-DE"/>
        </w:rPr>
        <w:t xml:space="preserve">Iekšējām palodzēm jābūt laminētām, baltā krāsā, matētām, 5 cm plātākām par logu ailas platumu un ne māzāk kā 3 cm biezām. Iekšējas palodzes slīpums uz iekšpusi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r>
        <w:rPr>
          <w:color w:val="000000"/>
        </w:rPr>
        <w:t>dībeļu</w:t>
      </w:r>
      <w:r w:rsidRPr="00056D66">
        <w:rPr>
          <w:color w:val="000000"/>
        </w:rPr>
        <w:t xml:space="preserve"> sistēmām vai enkuriem.</w:t>
      </w:r>
      <w:r>
        <w:rPr>
          <w:color w:val="000000"/>
        </w:rPr>
        <w:t xml:space="preserve"> </w:t>
      </w:r>
      <w:r w:rsidRPr="00056D66">
        <w:rPr>
          <w:color w:val="000000"/>
        </w:rPr>
        <w:t>Veikt aiļu blīvēšanu, siltināšanu, tvaika un vēja barjeras ierīkošanu, palodžu montāžu, aiļu apšūšanu ar riģipsi,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5FDEB7C5" w14:textId="77777777" w:rsidR="00BB2B4C" w:rsidRPr="001576AF" w:rsidRDefault="00BB2B4C" w:rsidP="00BB2B4C">
      <w:pPr>
        <w:spacing w:before="100" w:beforeAutospacing="1" w:after="100" w:afterAutospacing="1"/>
        <w:jc w:val="center"/>
        <w:rPr>
          <w:b/>
          <w:bCs/>
        </w:rPr>
      </w:pPr>
      <w:r w:rsidRPr="00443FEB">
        <w:rPr>
          <w:b/>
          <w:bCs/>
        </w:rPr>
        <w:t>Durvju bloku nomaiņa.</w:t>
      </w:r>
    </w:p>
    <w:p w14:paraId="7E3CDFDF" w14:textId="77777777" w:rsidR="00BB2B4C" w:rsidRPr="00A77B94" w:rsidRDefault="00BB2B4C" w:rsidP="00BB2B4C">
      <w:pPr>
        <w:pStyle w:val="NoSpacing"/>
        <w:ind w:firstLine="720"/>
        <w:jc w:val="both"/>
      </w:pPr>
      <w:r>
        <w:t xml:space="preserve">Tērauda un koka durvis </w:t>
      </w:r>
      <w:r w:rsidRPr="00622E24">
        <w:t>U≤1.6</w:t>
      </w:r>
      <w:r>
        <w:t xml:space="preserve"> </w:t>
      </w:r>
      <w:r w:rsidRPr="00056D66">
        <w:t>W/m²K.</w:t>
      </w:r>
      <w:r>
        <w:t xml:space="preserve"> Durvju aizvērējs GEZE TS2000 V BC (vai ekvivalents). Furnitūra, slēdzene, elektroniska kodatslēga ar magnētisko aizvērēju un rokturis (LASKOMEX CD-2513TP INOX vai ekvivalents).</w:t>
      </w:r>
    </w:p>
    <w:p w14:paraId="00657004" w14:textId="77777777" w:rsidR="00BB2B4C" w:rsidRPr="00056D66" w:rsidRDefault="00BB2B4C" w:rsidP="00BB2B4C">
      <w:pPr>
        <w:spacing w:before="100" w:beforeAutospacing="1" w:after="100" w:afterAutospacing="1"/>
        <w:jc w:val="center"/>
        <w:rPr>
          <w:b/>
        </w:rPr>
      </w:pPr>
      <w:r w:rsidRPr="00056D66">
        <w:rPr>
          <w:b/>
        </w:rPr>
        <w:t>Apkure.</w:t>
      </w:r>
    </w:p>
    <w:p w14:paraId="4E87029F" w14:textId="77777777" w:rsidR="00BB2B4C" w:rsidRPr="00056D66" w:rsidRDefault="00BB2B4C" w:rsidP="00BB2B4C">
      <w:pPr>
        <w:pStyle w:val="NoSpacing"/>
        <w:ind w:firstLine="720"/>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2C7C7E4F" w14:textId="77777777" w:rsidR="00BB2B4C" w:rsidRPr="00056D66" w:rsidRDefault="00BB2B4C" w:rsidP="00BB2B4C">
      <w:pPr>
        <w:pStyle w:val="NoSpacing"/>
        <w:ind w:firstLine="720"/>
        <w:jc w:val="both"/>
        <w:rPr>
          <w:iCs/>
        </w:rPr>
      </w:pPr>
      <w:r w:rsidRPr="00056D66">
        <w:t xml:space="preserve">Siltumenerģijas patēriņa sadalītāji (alokatori) </w:t>
      </w:r>
      <w:r w:rsidRPr="00056D66">
        <w:rPr>
          <w:color w:val="000000"/>
        </w:rPr>
        <w:t xml:space="preserve"> Sontex 566 un datu koncentratori atbilstoši alokatoru skaitam un mājas parametriem (vai ekvivalents) </w:t>
      </w:r>
      <w:r w:rsidRPr="00056D66">
        <w:t>ar uzstādīšanu un programmēšanu, ar attālinātu datu nolasīšanu</w:t>
      </w:r>
      <w:r w:rsidRPr="00056D66">
        <w:rPr>
          <w:color w:val="000000"/>
        </w:rPr>
        <w:t>, kuriem nolasīšanas operācija ir saderīga un veicama ar iekārtu - radio modemu Supercom 636.</w:t>
      </w:r>
      <w:r w:rsidRPr="00056D66">
        <w:rPr>
          <w:iCs/>
        </w:rPr>
        <w:t xml:space="preserve"> Pirms piedāvājuma iesniegšanas saskaņot izvēlētos siltumenerģijas patēriņa sadalītājus un saistošo aprīkojumu ar siltumenerģijas piegādātāju SIA “Fortum Jelgava”.</w:t>
      </w:r>
    </w:p>
    <w:p w14:paraId="3F0657D1" w14:textId="77777777" w:rsidR="00BB2B4C" w:rsidRPr="00056D66" w:rsidRDefault="00BB2B4C" w:rsidP="00BB2B4C">
      <w:pPr>
        <w:pStyle w:val="NoSpacing"/>
        <w:ind w:firstLine="720"/>
        <w:jc w:val="both"/>
      </w:pPr>
      <w:r w:rsidRPr="00056D66">
        <w:rPr>
          <w:iCs/>
        </w:rPr>
        <w:lastRenderedPageBreak/>
        <w:t>Būvuzņēmējs dod pilna apjoma cenu piedāvājumu ieskaitot darbus un materiālus, kas nav uzrādīti un ir nepieciešami sistēmu montāžai, palaišanai un nodošanai</w:t>
      </w:r>
      <w:r w:rsidRPr="00056D66">
        <w:t>.</w:t>
      </w:r>
    </w:p>
    <w:p w14:paraId="7163D2D3" w14:textId="77777777" w:rsidR="00BB2B4C" w:rsidRPr="00056D66" w:rsidRDefault="00BB2B4C" w:rsidP="00BB2B4C">
      <w:pPr>
        <w:jc w:val="both"/>
        <w:rPr>
          <w:color w:val="000000"/>
        </w:rPr>
      </w:pPr>
    </w:p>
    <w:p w14:paraId="1D9BEA0E" w14:textId="77777777" w:rsidR="00BB2B4C" w:rsidRPr="00056D66" w:rsidRDefault="00BB2B4C" w:rsidP="00BB2B4C">
      <w:pPr>
        <w:jc w:val="center"/>
        <w:rPr>
          <w:b/>
        </w:rPr>
      </w:pPr>
      <w:r w:rsidRPr="00056D66">
        <w:rPr>
          <w:b/>
        </w:rPr>
        <w:t>Karstais ūdensvads.</w:t>
      </w:r>
    </w:p>
    <w:p w14:paraId="016EE93E" w14:textId="77777777" w:rsidR="00BB2B4C" w:rsidRPr="00056D66" w:rsidRDefault="00BB2B4C" w:rsidP="00BB2B4C">
      <w:pPr>
        <w:pStyle w:val="NoSpacing"/>
        <w:ind w:firstLine="720"/>
        <w:jc w:val="both"/>
      </w:pPr>
      <w:r w:rsidRPr="00056D66">
        <w:t>Karstā ūdens sistēmas renovācijā pielietot materiālus,</w:t>
      </w:r>
      <w:r>
        <w:t xml:space="preserve"> </w:t>
      </w:r>
      <w:r w:rsidRPr="00056D66">
        <w:t xml:space="preserve">kas doti ūdensapgādes sistēmas projektā vai to </w:t>
      </w:r>
      <w:r w:rsidRPr="00C82A1E">
        <w:t>ekvivalentus. Dvieļu žāvētājs, no pulēta nerūsējošā tērauda 50x120</w:t>
      </w:r>
      <w:r w:rsidRPr="00056D66">
        <w:t xml:space="preserve"> ar stiprinājumiem un savienojošajiem veidgabaliem vai ekvivalents.</w:t>
      </w:r>
    </w:p>
    <w:p w14:paraId="16F68DF2" w14:textId="77777777" w:rsidR="00BB2B4C" w:rsidRDefault="00BB2B4C" w:rsidP="00BB2B4C"/>
    <w:p w14:paraId="17647BF5" w14:textId="04F42552" w:rsidR="000234F9" w:rsidRDefault="000234F9" w:rsidP="00E111F7">
      <w:pPr>
        <w:jc w:val="both"/>
        <w:rPr>
          <w:color w:val="000000"/>
        </w:rPr>
      </w:pPr>
    </w:p>
    <w:p w14:paraId="254880ED" w14:textId="6986B82C" w:rsidR="000234F9" w:rsidRDefault="000234F9" w:rsidP="00E111F7">
      <w:pPr>
        <w:jc w:val="both"/>
        <w:rPr>
          <w:color w:val="000000"/>
        </w:rPr>
      </w:pPr>
    </w:p>
    <w:p w14:paraId="70545309" w14:textId="6E02856A" w:rsidR="000234F9" w:rsidRDefault="000234F9" w:rsidP="00E111F7">
      <w:pPr>
        <w:jc w:val="both"/>
        <w:rPr>
          <w:color w:val="000000"/>
        </w:rPr>
      </w:pPr>
    </w:p>
    <w:p w14:paraId="71C52B2A" w14:textId="3415ED9C" w:rsidR="000234F9" w:rsidRDefault="000234F9" w:rsidP="00E111F7">
      <w:pPr>
        <w:jc w:val="both"/>
        <w:rPr>
          <w:color w:val="000000"/>
        </w:rPr>
      </w:pPr>
    </w:p>
    <w:p w14:paraId="48493D2F" w14:textId="3CBD00CD" w:rsidR="000234F9" w:rsidRDefault="000234F9" w:rsidP="00E111F7">
      <w:pPr>
        <w:jc w:val="both"/>
        <w:rPr>
          <w:color w:val="000000"/>
        </w:rPr>
      </w:pPr>
    </w:p>
    <w:p w14:paraId="39D49250" w14:textId="2AFDD8BC" w:rsidR="000234F9" w:rsidRDefault="000234F9" w:rsidP="00E111F7">
      <w:pPr>
        <w:jc w:val="both"/>
        <w:rPr>
          <w:color w:val="000000"/>
        </w:rPr>
      </w:pPr>
    </w:p>
    <w:p w14:paraId="67707DAF" w14:textId="61929729" w:rsidR="000234F9" w:rsidRDefault="000234F9" w:rsidP="00E111F7">
      <w:pPr>
        <w:jc w:val="both"/>
        <w:rPr>
          <w:color w:val="000000"/>
        </w:rPr>
      </w:pPr>
    </w:p>
    <w:p w14:paraId="4FBDF202" w14:textId="44FA2911" w:rsidR="000234F9" w:rsidRDefault="000234F9" w:rsidP="00E111F7">
      <w:pPr>
        <w:jc w:val="both"/>
        <w:rPr>
          <w:color w:val="000000"/>
        </w:rPr>
      </w:pPr>
    </w:p>
    <w:p w14:paraId="4C06520F" w14:textId="2986DDF8" w:rsidR="000234F9" w:rsidRDefault="000234F9" w:rsidP="00E111F7">
      <w:pPr>
        <w:jc w:val="both"/>
        <w:rPr>
          <w:color w:val="000000"/>
        </w:rPr>
      </w:pPr>
    </w:p>
    <w:p w14:paraId="35FE48BD" w14:textId="773945BC" w:rsidR="000234F9" w:rsidRDefault="000234F9" w:rsidP="00E111F7">
      <w:pPr>
        <w:jc w:val="both"/>
        <w:rPr>
          <w:color w:val="000000"/>
        </w:rPr>
      </w:pPr>
    </w:p>
    <w:p w14:paraId="6B353DA6" w14:textId="748AE8FC" w:rsidR="000234F9" w:rsidRDefault="000234F9" w:rsidP="00E111F7">
      <w:pPr>
        <w:jc w:val="both"/>
        <w:rPr>
          <w:color w:val="000000"/>
        </w:rPr>
      </w:pPr>
    </w:p>
    <w:p w14:paraId="10190A1B" w14:textId="2BA55958" w:rsidR="000234F9" w:rsidRDefault="000234F9" w:rsidP="00E111F7">
      <w:pPr>
        <w:jc w:val="both"/>
        <w:rPr>
          <w:color w:val="000000"/>
        </w:rPr>
      </w:pPr>
    </w:p>
    <w:p w14:paraId="01614CE7" w14:textId="0CCFFBC9" w:rsidR="000234F9" w:rsidRDefault="000234F9" w:rsidP="00E111F7">
      <w:pPr>
        <w:jc w:val="both"/>
        <w:rPr>
          <w:color w:val="000000"/>
        </w:rPr>
      </w:pPr>
    </w:p>
    <w:p w14:paraId="21FAF489" w14:textId="3383F8AF" w:rsidR="000234F9" w:rsidRDefault="000234F9" w:rsidP="00E111F7">
      <w:pPr>
        <w:jc w:val="both"/>
        <w:rPr>
          <w:color w:val="000000"/>
        </w:rPr>
      </w:pPr>
    </w:p>
    <w:p w14:paraId="68E829A6" w14:textId="2D92C638" w:rsidR="000234F9" w:rsidRDefault="000234F9" w:rsidP="00E111F7">
      <w:pPr>
        <w:jc w:val="both"/>
        <w:rPr>
          <w:color w:val="000000"/>
        </w:rPr>
      </w:pPr>
    </w:p>
    <w:p w14:paraId="72CB2CB4" w14:textId="777EF7D6" w:rsidR="000234F9" w:rsidRDefault="000234F9" w:rsidP="00E111F7">
      <w:pPr>
        <w:jc w:val="both"/>
        <w:rPr>
          <w:color w:val="000000"/>
        </w:rPr>
      </w:pPr>
    </w:p>
    <w:p w14:paraId="5CF6D616" w14:textId="047FE1E3" w:rsidR="000234F9" w:rsidRDefault="000234F9" w:rsidP="00E111F7">
      <w:pPr>
        <w:jc w:val="both"/>
        <w:rPr>
          <w:color w:val="000000"/>
        </w:rPr>
      </w:pPr>
    </w:p>
    <w:p w14:paraId="3909776A" w14:textId="3B36EEF5" w:rsidR="000234F9" w:rsidRDefault="000234F9" w:rsidP="00E111F7">
      <w:pPr>
        <w:jc w:val="both"/>
        <w:rPr>
          <w:color w:val="000000"/>
        </w:rPr>
      </w:pPr>
    </w:p>
    <w:p w14:paraId="4579F17D" w14:textId="723222FF" w:rsidR="000234F9" w:rsidRDefault="000234F9" w:rsidP="00E111F7">
      <w:pPr>
        <w:jc w:val="both"/>
        <w:rPr>
          <w:color w:val="000000"/>
        </w:rPr>
      </w:pPr>
    </w:p>
    <w:p w14:paraId="087581A2" w14:textId="1EFAD408" w:rsidR="000234F9" w:rsidRDefault="000234F9" w:rsidP="00E111F7">
      <w:pPr>
        <w:jc w:val="both"/>
        <w:rPr>
          <w:color w:val="000000"/>
        </w:rPr>
      </w:pPr>
    </w:p>
    <w:p w14:paraId="17A508E1" w14:textId="31526EA4" w:rsidR="000234F9" w:rsidRDefault="000234F9" w:rsidP="00E111F7">
      <w:pPr>
        <w:jc w:val="both"/>
        <w:rPr>
          <w:color w:val="000000"/>
        </w:rPr>
      </w:pPr>
    </w:p>
    <w:p w14:paraId="426B4752" w14:textId="289BE20B" w:rsidR="000234F9" w:rsidRDefault="000234F9" w:rsidP="00E111F7">
      <w:pPr>
        <w:jc w:val="both"/>
        <w:rPr>
          <w:color w:val="000000"/>
        </w:rPr>
      </w:pPr>
    </w:p>
    <w:p w14:paraId="7F3B7DE2" w14:textId="285948A8" w:rsidR="000234F9" w:rsidRDefault="000234F9" w:rsidP="00E111F7">
      <w:pPr>
        <w:jc w:val="both"/>
        <w:rPr>
          <w:color w:val="000000"/>
        </w:rPr>
      </w:pPr>
    </w:p>
    <w:p w14:paraId="04450AC2" w14:textId="67BA7104" w:rsidR="000234F9" w:rsidRDefault="000234F9" w:rsidP="00E111F7">
      <w:pPr>
        <w:jc w:val="both"/>
        <w:rPr>
          <w:color w:val="000000"/>
        </w:rPr>
      </w:pPr>
    </w:p>
    <w:p w14:paraId="768E9DA9" w14:textId="58435C39" w:rsidR="000234F9" w:rsidRDefault="000234F9" w:rsidP="00E111F7">
      <w:pPr>
        <w:jc w:val="both"/>
        <w:rPr>
          <w:color w:val="000000"/>
        </w:rPr>
      </w:pPr>
    </w:p>
    <w:p w14:paraId="2B35CC0D" w14:textId="49E1E44A" w:rsidR="000234F9" w:rsidRDefault="000234F9" w:rsidP="00E111F7">
      <w:pPr>
        <w:jc w:val="both"/>
        <w:rPr>
          <w:color w:val="000000"/>
        </w:rPr>
      </w:pPr>
    </w:p>
    <w:p w14:paraId="79FFD55A" w14:textId="66A8E22B" w:rsidR="000234F9" w:rsidRDefault="000234F9" w:rsidP="00E111F7">
      <w:pPr>
        <w:jc w:val="both"/>
        <w:rPr>
          <w:color w:val="000000"/>
        </w:rPr>
      </w:pPr>
    </w:p>
    <w:p w14:paraId="77F96ADA" w14:textId="3685283A" w:rsidR="000234F9" w:rsidRDefault="000234F9" w:rsidP="00E111F7">
      <w:pPr>
        <w:jc w:val="both"/>
        <w:rPr>
          <w:color w:val="000000"/>
        </w:rPr>
      </w:pPr>
    </w:p>
    <w:p w14:paraId="2D651CCD" w14:textId="1B0EB53F" w:rsidR="000234F9" w:rsidRDefault="000234F9" w:rsidP="00E111F7">
      <w:pPr>
        <w:jc w:val="both"/>
        <w:rPr>
          <w:color w:val="000000"/>
        </w:rPr>
      </w:pPr>
    </w:p>
    <w:p w14:paraId="1E4C0463" w14:textId="6550FCEA" w:rsidR="000234F9" w:rsidRDefault="000234F9" w:rsidP="00E111F7">
      <w:pPr>
        <w:jc w:val="both"/>
        <w:rPr>
          <w:color w:val="000000"/>
        </w:rPr>
      </w:pPr>
    </w:p>
    <w:p w14:paraId="6F038AA0" w14:textId="65D3F48F" w:rsidR="000234F9" w:rsidRDefault="000234F9" w:rsidP="00E111F7">
      <w:pPr>
        <w:jc w:val="both"/>
        <w:rPr>
          <w:color w:val="000000"/>
        </w:rPr>
      </w:pPr>
    </w:p>
    <w:p w14:paraId="0F59EEF0" w14:textId="083030A0" w:rsidR="00A47921" w:rsidRDefault="00A47921" w:rsidP="00E111F7">
      <w:pPr>
        <w:jc w:val="both"/>
        <w:rPr>
          <w:color w:val="000000"/>
        </w:rPr>
      </w:pPr>
    </w:p>
    <w:p w14:paraId="3BC62FE2" w14:textId="3D27CF10" w:rsidR="00A47921" w:rsidRDefault="00A47921" w:rsidP="00E111F7">
      <w:pPr>
        <w:jc w:val="both"/>
        <w:rPr>
          <w:color w:val="000000"/>
        </w:rPr>
      </w:pPr>
    </w:p>
    <w:p w14:paraId="3B3F6A1C" w14:textId="0AD69116" w:rsidR="00A47921" w:rsidRDefault="00A47921" w:rsidP="00E111F7">
      <w:pPr>
        <w:jc w:val="both"/>
        <w:rPr>
          <w:color w:val="000000"/>
        </w:rPr>
      </w:pPr>
    </w:p>
    <w:p w14:paraId="6488B575" w14:textId="6BA639BF" w:rsidR="00A47921" w:rsidRDefault="00A47921" w:rsidP="00E111F7">
      <w:pPr>
        <w:jc w:val="both"/>
        <w:rPr>
          <w:color w:val="000000"/>
        </w:rPr>
      </w:pPr>
    </w:p>
    <w:p w14:paraId="630231F8" w14:textId="6643F259" w:rsidR="00A47921" w:rsidRDefault="00A47921" w:rsidP="00E111F7">
      <w:pPr>
        <w:jc w:val="both"/>
        <w:rPr>
          <w:color w:val="000000"/>
        </w:rPr>
      </w:pPr>
    </w:p>
    <w:p w14:paraId="57B538D1" w14:textId="77777777" w:rsidR="00A47921" w:rsidRDefault="00A47921" w:rsidP="00E111F7">
      <w:pPr>
        <w:jc w:val="both"/>
        <w:rPr>
          <w:color w:val="000000"/>
        </w:rPr>
      </w:pPr>
    </w:p>
    <w:p w14:paraId="2FCF458A" w14:textId="3DAB8B2F" w:rsidR="000234F9" w:rsidRDefault="000234F9" w:rsidP="00E111F7">
      <w:pPr>
        <w:jc w:val="both"/>
        <w:rPr>
          <w:color w:val="000000"/>
        </w:rPr>
      </w:pPr>
    </w:p>
    <w:p w14:paraId="790771EC" w14:textId="2DAA617F" w:rsidR="000234F9" w:rsidRDefault="000234F9" w:rsidP="00E111F7">
      <w:pPr>
        <w:jc w:val="both"/>
        <w:rPr>
          <w:color w:val="000000"/>
        </w:rPr>
      </w:pPr>
    </w:p>
    <w:p w14:paraId="7C6B1B3A" w14:textId="77777777" w:rsidR="000234F9" w:rsidRPr="00056D66" w:rsidRDefault="000234F9" w:rsidP="00E111F7">
      <w:pPr>
        <w:jc w:val="both"/>
        <w:rPr>
          <w:color w:val="000000"/>
        </w:rPr>
      </w:pPr>
    </w:p>
    <w:p w14:paraId="5F8BB728" w14:textId="46184745" w:rsidR="00BF3660" w:rsidRDefault="00BF3660">
      <w:pPr>
        <w:jc w:val="right"/>
        <w:rPr>
          <w:b/>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cauršūts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1EC6D1A0" w14:textId="49B3DBAB" w:rsidR="00BF3660" w:rsidRPr="00BF3660" w:rsidRDefault="00BF3660" w:rsidP="005D29D3">
      <w:pP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CE0A" w14:textId="77777777" w:rsidR="008131AF" w:rsidRDefault="008131AF">
      <w:r>
        <w:separator/>
      </w:r>
    </w:p>
  </w:endnote>
  <w:endnote w:type="continuationSeparator" w:id="0">
    <w:p w14:paraId="45B5B9E6" w14:textId="77777777" w:rsidR="008131AF" w:rsidRDefault="0081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CCCD" w14:textId="2A3BC543" w:rsidR="00DD37ED" w:rsidRDefault="00DD37ED">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DD37ED" w:rsidRDefault="00DD37ED">
    <w:pPr>
      <w:pStyle w:val="Footer"/>
    </w:pPr>
  </w:p>
  <w:p w14:paraId="41D74A2C" w14:textId="77777777" w:rsidR="00DD37ED" w:rsidRDefault="00DD37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225C" w14:textId="77777777" w:rsidR="008131AF" w:rsidRDefault="008131AF">
      <w:r>
        <w:separator/>
      </w:r>
    </w:p>
  </w:footnote>
  <w:footnote w:type="continuationSeparator" w:id="0">
    <w:p w14:paraId="1285D5A0" w14:textId="77777777" w:rsidR="008131AF" w:rsidRDefault="008131AF">
      <w:r>
        <w:continuationSeparator/>
      </w:r>
    </w:p>
  </w:footnote>
  <w:footnote w:id="1">
    <w:p w14:paraId="033CD6F7" w14:textId="77777777" w:rsidR="00DD37ED" w:rsidRPr="001D7DE0" w:rsidRDefault="00DD37ED"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23114"/>
    <w:rsid w:val="000234F9"/>
    <w:rsid w:val="00037279"/>
    <w:rsid w:val="00037B24"/>
    <w:rsid w:val="00040C65"/>
    <w:rsid w:val="000426EE"/>
    <w:rsid w:val="00045BB8"/>
    <w:rsid w:val="000507B1"/>
    <w:rsid w:val="00052D33"/>
    <w:rsid w:val="000533D8"/>
    <w:rsid w:val="00056D66"/>
    <w:rsid w:val="00063891"/>
    <w:rsid w:val="00066B8E"/>
    <w:rsid w:val="00070BAF"/>
    <w:rsid w:val="00085BA3"/>
    <w:rsid w:val="00086BA7"/>
    <w:rsid w:val="00090BE2"/>
    <w:rsid w:val="000959EF"/>
    <w:rsid w:val="000C22F0"/>
    <w:rsid w:val="000C255F"/>
    <w:rsid w:val="000C2BB8"/>
    <w:rsid w:val="000C7196"/>
    <w:rsid w:val="000D00A1"/>
    <w:rsid w:val="000D348C"/>
    <w:rsid w:val="000D6D09"/>
    <w:rsid w:val="000E07E4"/>
    <w:rsid w:val="000F1DE4"/>
    <w:rsid w:val="00110C49"/>
    <w:rsid w:val="0011742A"/>
    <w:rsid w:val="00123A12"/>
    <w:rsid w:val="001242AB"/>
    <w:rsid w:val="001266FE"/>
    <w:rsid w:val="001272ED"/>
    <w:rsid w:val="00131E73"/>
    <w:rsid w:val="001372AE"/>
    <w:rsid w:val="00140EA3"/>
    <w:rsid w:val="001441BB"/>
    <w:rsid w:val="00152DC0"/>
    <w:rsid w:val="00152FBD"/>
    <w:rsid w:val="00160469"/>
    <w:rsid w:val="001648E4"/>
    <w:rsid w:val="001712D6"/>
    <w:rsid w:val="001747F6"/>
    <w:rsid w:val="00184A07"/>
    <w:rsid w:val="00191B58"/>
    <w:rsid w:val="00193FC7"/>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23941"/>
    <w:rsid w:val="00225D8C"/>
    <w:rsid w:val="002404DB"/>
    <w:rsid w:val="00242308"/>
    <w:rsid w:val="00246073"/>
    <w:rsid w:val="00247719"/>
    <w:rsid w:val="00256B3A"/>
    <w:rsid w:val="0026213A"/>
    <w:rsid w:val="00263167"/>
    <w:rsid w:val="0026380F"/>
    <w:rsid w:val="0026690B"/>
    <w:rsid w:val="00267055"/>
    <w:rsid w:val="0027410A"/>
    <w:rsid w:val="00276010"/>
    <w:rsid w:val="00282EB1"/>
    <w:rsid w:val="002A745B"/>
    <w:rsid w:val="002B03E5"/>
    <w:rsid w:val="002C01E7"/>
    <w:rsid w:val="002C1222"/>
    <w:rsid w:val="002D3BFC"/>
    <w:rsid w:val="002D5201"/>
    <w:rsid w:val="002D682E"/>
    <w:rsid w:val="002E0897"/>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4C4D"/>
    <w:rsid w:val="003A518F"/>
    <w:rsid w:val="003A5E51"/>
    <w:rsid w:val="003B2DA1"/>
    <w:rsid w:val="003D5170"/>
    <w:rsid w:val="003F1B42"/>
    <w:rsid w:val="003F6473"/>
    <w:rsid w:val="00400DE6"/>
    <w:rsid w:val="00414742"/>
    <w:rsid w:val="0042796B"/>
    <w:rsid w:val="00432571"/>
    <w:rsid w:val="004326C0"/>
    <w:rsid w:val="00432C0F"/>
    <w:rsid w:val="004417AD"/>
    <w:rsid w:val="0044540E"/>
    <w:rsid w:val="00457072"/>
    <w:rsid w:val="00461C7E"/>
    <w:rsid w:val="004652E7"/>
    <w:rsid w:val="004717BA"/>
    <w:rsid w:val="00473AD9"/>
    <w:rsid w:val="00480705"/>
    <w:rsid w:val="004835E2"/>
    <w:rsid w:val="00484AA6"/>
    <w:rsid w:val="00484E52"/>
    <w:rsid w:val="00492FAD"/>
    <w:rsid w:val="004933E0"/>
    <w:rsid w:val="00493F15"/>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4753B"/>
    <w:rsid w:val="005504D4"/>
    <w:rsid w:val="00563D3C"/>
    <w:rsid w:val="00570EEA"/>
    <w:rsid w:val="00571EE8"/>
    <w:rsid w:val="00572E61"/>
    <w:rsid w:val="00581D6D"/>
    <w:rsid w:val="00583410"/>
    <w:rsid w:val="00590248"/>
    <w:rsid w:val="0059367B"/>
    <w:rsid w:val="005946E1"/>
    <w:rsid w:val="005A0F16"/>
    <w:rsid w:val="005A3A15"/>
    <w:rsid w:val="005A3D2D"/>
    <w:rsid w:val="005A40D4"/>
    <w:rsid w:val="005B119F"/>
    <w:rsid w:val="005B253D"/>
    <w:rsid w:val="005B790F"/>
    <w:rsid w:val="005C4C95"/>
    <w:rsid w:val="005D29D3"/>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90885"/>
    <w:rsid w:val="006B72F8"/>
    <w:rsid w:val="006B73A7"/>
    <w:rsid w:val="006B7FF5"/>
    <w:rsid w:val="006C620F"/>
    <w:rsid w:val="006C716C"/>
    <w:rsid w:val="006E4B7B"/>
    <w:rsid w:val="006E7DDC"/>
    <w:rsid w:val="006F1570"/>
    <w:rsid w:val="0070785A"/>
    <w:rsid w:val="00711ABB"/>
    <w:rsid w:val="007208DB"/>
    <w:rsid w:val="007330DE"/>
    <w:rsid w:val="00733FA0"/>
    <w:rsid w:val="00735021"/>
    <w:rsid w:val="007405D6"/>
    <w:rsid w:val="00751ACD"/>
    <w:rsid w:val="007737F8"/>
    <w:rsid w:val="007741F7"/>
    <w:rsid w:val="00774F56"/>
    <w:rsid w:val="00787ED2"/>
    <w:rsid w:val="0079628B"/>
    <w:rsid w:val="00796485"/>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31AF"/>
    <w:rsid w:val="00816AF5"/>
    <w:rsid w:val="00820160"/>
    <w:rsid w:val="00821ED3"/>
    <w:rsid w:val="0083416D"/>
    <w:rsid w:val="0084024D"/>
    <w:rsid w:val="00840292"/>
    <w:rsid w:val="0084245D"/>
    <w:rsid w:val="008429DC"/>
    <w:rsid w:val="008556DD"/>
    <w:rsid w:val="00860836"/>
    <w:rsid w:val="008677BE"/>
    <w:rsid w:val="0089189A"/>
    <w:rsid w:val="00891F95"/>
    <w:rsid w:val="008933DD"/>
    <w:rsid w:val="008A15AF"/>
    <w:rsid w:val="008A2E10"/>
    <w:rsid w:val="008A6087"/>
    <w:rsid w:val="008B07B2"/>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E48E7"/>
    <w:rsid w:val="009F1143"/>
    <w:rsid w:val="009F365C"/>
    <w:rsid w:val="009F634B"/>
    <w:rsid w:val="009F66BE"/>
    <w:rsid w:val="00A010B2"/>
    <w:rsid w:val="00A031E3"/>
    <w:rsid w:val="00A03B22"/>
    <w:rsid w:val="00A06260"/>
    <w:rsid w:val="00A128A4"/>
    <w:rsid w:val="00A143FE"/>
    <w:rsid w:val="00A14990"/>
    <w:rsid w:val="00A17D3E"/>
    <w:rsid w:val="00A22332"/>
    <w:rsid w:val="00A3555F"/>
    <w:rsid w:val="00A40503"/>
    <w:rsid w:val="00A40FF6"/>
    <w:rsid w:val="00A422BE"/>
    <w:rsid w:val="00A444C7"/>
    <w:rsid w:val="00A47921"/>
    <w:rsid w:val="00A644E2"/>
    <w:rsid w:val="00A74DE1"/>
    <w:rsid w:val="00A75E81"/>
    <w:rsid w:val="00A80D0D"/>
    <w:rsid w:val="00A83F20"/>
    <w:rsid w:val="00A8545C"/>
    <w:rsid w:val="00A86CE8"/>
    <w:rsid w:val="00A96831"/>
    <w:rsid w:val="00AA231C"/>
    <w:rsid w:val="00AB6751"/>
    <w:rsid w:val="00AC0B46"/>
    <w:rsid w:val="00AC109E"/>
    <w:rsid w:val="00AC2B76"/>
    <w:rsid w:val="00AC42C8"/>
    <w:rsid w:val="00AD3BDD"/>
    <w:rsid w:val="00AE7775"/>
    <w:rsid w:val="00AF482A"/>
    <w:rsid w:val="00AF5D79"/>
    <w:rsid w:val="00B12149"/>
    <w:rsid w:val="00B13457"/>
    <w:rsid w:val="00B30B3D"/>
    <w:rsid w:val="00B3725D"/>
    <w:rsid w:val="00B43AD8"/>
    <w:rsid w:val="00B45551"/>
    <w:rsid w:val="00B64334"/>
    <w:rsid w:val="00B82693"/>
    <w:rsid w:val="00BB2B4C"/>
    <w:rsid w:val="00BB3FF8"/>
    <w:rsid w:val="00BC45B2"/>
    <w:rsid w:val="00BC7741"/>
    <w:rsid w:val="00BD6B8B"/>
    <w:rsid w:val="00BE3993"/>
    <w:rsid w:val="00BF057A"/>
    <w:rsid w:val="00BF1261"/>
    <w:rsid w:val="00BF335C"/>
    <w:rsid w:val="00BF3660"/>
    <w:rsid w:val="00BF3C82"/>
    <w:rsid w:val="00C024FC"/>
    <w:rsid w:val="00C20AFE"/>
    <w:rsid w:val="00C24981"/>
    <w:rsid w:val="00C40011"/>
    <w:rsid w:val="00C4066E"/>
    <w:rsid w:val="00C475D8"/>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7B51"/>
    <w:rsid w:val="00D23EBB"/>
    <w:rsid w:val="00D27515"/>
    <w:rsid w:val="00D46052"/>
    <w:rsid w:val="00D5085F"/>
    <w:rsid w:val="00D535F6"/>
    <w:rsid w:val="00D626E5"/>
    <w:rsid w:val="00D62985"/>
    <w:rsid w:val="00D70214"/>
    <w:rsid w:val="00D7538E"/>
    <w:rsid w:val="00D76124"/>
    <w:rsid w:val="00D874CF"/>
    <w:rsid w:val="00D93210"/>
    <w:rsid w:val="00DB58BF"/>
    <w:rsid w:val="00DC05EB"/>
    <w:rsid w:val="00DC065B"/>
    <w:rsid w:val="00DC3C4C"/>
    <w:rsid w:val="00DD37ED"/>
    <w:rsid w:val="00DD40AE"/>
    <w:rsid w:val="00DE79EC"/>
    <w:rsid w:val="00DF6041"/>
    <w:rsid w:val="00E006C8"/>
    <w:rsid w:val="00E01AD2"/>
    <w:rsid w:val="00E05960"/>
    <w:rsid w:val="00E07E98"/>
    <w:rsid w:val="00E111F7"/>
    <w:rsid w:val="00E14317"/>
    <w:rsid w:val="00E14C34"/>
    <w:rsid w:val="00E17708"/>
    <w:rsid w:val="00E30A07"/>
    <w:rsid w:val="00E31A05"/>
    <w:rsid w:val="00E46508"/>
    <w:rsid w:val="00E54014"/>
    <w:rsid w:val="00E54B02"/>
    <w:rsid w:val="00E573CE"/>
    <w:rsid w:val="00E63F90"/>
    <w:rsid w:val="00E71C92"/>
    <w:rsid w:val="00E74672"/>
    <w:rsid w:val="00E76FA1"/>
    <w:rsid w:val="00E95CA7"/>
    <w:rsid w:val="00EA0065"/>
    <w:rsid w:val="00EA0567"/>
    <w:rsid w:val="00EA193F"/>
    <w:rsid w:val="00EA2020"/>
    <w:rsid w:val="00EA2419"/>
    <w:rsid w:val="00EA5771"/>
    <w:rsid w:val="00EB14AA"/>
    <w:rsid w:val="00EC1922"/>
    <w:rsid w:val="00EC58F0"/>
    <w:rsid w:val="00ED116C"/>
    <w:rsid w:val="00ED7F57"/>
    <w:rsid w:val="00EE776A"/>
    <w:rsid w:val="00EF145D"/>
    <w:rsid w:val="00EF5C8D"/>
    <w:rsid w:val="00F00C71"/>
    <w:rsid w:val="00F13E4C"/>
    <w:rsid w:val="00F14583"/>
    <w:rsid w:val="00F45D4C"/>
    <w:rsid w:val="00F52A71"/>
    <w:rsid w:val="00F6066B"/>
    <w:rsid w:val="00F62AC7"/>
    <w:rsid w:val="00F838C7"/>
    <w:rsid w:val="00F90262"/>
    <w:rsid w:val="00FA1056"/>
    <w:rsid w:val="00FB2DA6"/>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FB4A9-F068-4D4E-B724-64CF7644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45</Pages>
  <Words>75407</Words>
  <Characters>42982</Characters>
  <Application>Microsoft Office Word</Application>
  <DocSecurity>0</DocSecurity>
  <Lines>358</Lines>
  <Paragraphs>236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118153</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73</cp:revision>
  <cp:lastPrinted>2022-03-03T14:04:00Z</cp:lastPrinted>
  <dcterms:created xsi:type="dcterms:W3CDTF">2020-09-11T06:40:00Z</dcterms:created>
  <dcterms:modified xsi:type="dcterms:W3CDTF">2022-03-04T06:37:00Z</dcterms:modified>
</cp:coreProperties>
</file>